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Pr>
          <w:rFonts w:ascii="Arial" w:hAnsi="Arial"/>
          <w:noProof/>
        </w:rPr>
        <w:drawing>
          <wp:inline distT="0" distB="0" distL="0" distR="0">
            <wp:extent cx="2832100" cy="534110"/>
            <wp:effectExtent l="25400" t="0" r="0" b="0"/>
            <wp:docPr id="1" name="Picture 1" descr="::Documents:Memorial Health System:memorial_health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emorial Health System:memorial_healthcare_logo.png"/>
                    <pic:cNvPicPr>
                      <a:picLocks noChangeAspect="1" noChangeArrowheads="1"/>
                    </pic:cNvPicPr>
                  </pic:nvPicPr>
                  <pic:blipFill>
                    <a:blip xmlns:r="http://schemas.openxmlformats.org/officeDocument/2006/relationships" r:embed="rId4"/>
                    <a:srcRect/>
                    <a:stretch>
                      <a:fillRect/>
                    </a:stretch>
                  </pic:blipFill>
                  <pic:spPr bwMode="auto">
                    <a:xfrm>
                      <a:off x="0" y="0"/>
                      <a:ext cx="2833749" cy="534421"/>
                    </a:xfrm>
                    <a:prstGeom prst="rect">
                      <a:avLst/>
                    </a:prstGeom>
                    <a:noFill/>
                    <a:ln w="9525">
                      <a:noFill/>
                      <a:miter lim="800000"/>
                      <a:headEnd/>
                      <a:tailEnd/>
                    </a:ln>
                  </pic:spPr>
                </pic:pic>
              </a:graphicData>
            </a:graphic>
          </wp:inline>
        </w:drawing>
      </w:r>
      <w:r w:rsidRPr="00154026" w:rsidR="004D5DAE">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Best of</w:t>
      </w:r>
      <w:r w:rsidRPr="00154026">
        <w:rPr>
          <w:rFonts w:ascii="Arial" w:hAnsi="Arial"/>
          <w:b/>
          <w:noProof/>
          <w:color w:val="17365D" w:themeColor="text2" w:themeShade="BF"/>
          <w:sz w:val="28"/>
          <w:szCs w:val="28"/>
        </w:rPr>
        <w:t xml:space="preserve"> ASCO 2025 Miami Symposium</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8/1</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JW Marriott</w:t>
      </w:r>
      <w:r w:rsidRPr="00154026">
        <w:rPr>
          <w:rFonts w:ascii="Arial" w:hAnsi="Arial"/>
          <w:b/>
          <w:noProof/>
          <w:sz w:val="28"/>
          <w:szCs w:val="28"/>
        </w:rPr>
        <w:t xml:space="preserve"> Marquis Miami</w:t>
      </w:r>
      <w:r w:rsidRPr="00154026">
        <w:rPr>
          <w:rFonts w:ascii="Arial" w:hAnsi="Arial"/>
          <w:b/>
          <w:noProof/>
          <w:sz w:val="28"/>
          <w:szCs w:val="28"/>
        </w:rPr>
        <w:t xml:space="preserve"> </w:t>
      </w:r>
      <w:r w:rsidRPr="00154026">
        <w:rPr>
          <w:rFonts w:ascii="Arial" w:hAnsi="Arial"/>
          <w:b/>
          <w:noProof/>
          <w:sz w:val="28"/>
          <w:szCs w:val="28"/>
        </w:rPr>
        <w:t>FL</w:t>
      </w:r>
    </w:p>
    <w:p w:rsidR="00154026" w:rsidP="006A623D">
      <w:pPr>
        <w:spacing w:line="240" w:lineRule="auto"/>
        <w:rPr>
          <w:rFonts w:ascii="Arial" w:hAnsi="Arial"/>
          <w:sz w:val="24"/>
        </w:rPr>
      </w:pPr>
      <w:r w:rsidRPr="00154026" w:rsidR="00993B4D">
        <w:rPr>
          <w:rFonts w:ascii="Arial" w:hAnsi="Arial"/>
          <w:noProof/>
          <w:color w:val="000000" w:themeColor="text1"/>
          <w:sz w:val="24"/>
          <w:szCs w:val="24"/>
        </w:rPr>
        <w:t>&lt;p&gt;</w:t>
      </w:r>
      <w:r w:rsidRPr="00154026" w:rsidR="00993B4D">
        <w:rPr>
          <w:rFonts w:ascii="Arial" w:hAnsi="Arial"/>
          <w:noProof/>
          <w:color w:val="000000" w:themeColor="text1"/>
          <w:sz w:val="24"/>
          <w:szCs w:val="24"/>
        </w:rPr>
        <w:t>The Best of ASCO®&amp;nbsp;2025 Miami Symposium is a summarized version of the ASCO Annual Conference made available locally to simulate attendance for those who may not have the resources or time to attend the national conference. MCI obtained in 2014 the first official license to conduct Best of ASCO®, giving oncologists the opportunity to increase their knowledge about cancer, improve their competence, and enhance practice performance and patient care. Best of ASCO®&amp;nbsp;will provide an evidence-based, state-of-the-art educational activity that will assist clinicians in making up-to-date, appropriate treatment decisions. One of the most important goals is to help the physicians to incorporate in their daily practices the latest and best of oncology care as presented and discussed every year in ASCO --the most important cancer meeting in the world with more than 37,000 people attending every year.&lt;/p&gt;&lt;p&gt;To view speakers and topics, please click on the "Faculty" and "Brochure" tabs.&lt;br&gt;&lt;span style="font-size: 20px;"&gt;&lt;br&gt;&lt;/span&gt;&lt;strong&gt;&lt;em&gt;&lt;span style="color: rgb(255, 0, 0); font-size: 20px;"&gt;EARLY BIRD SPECIAL!&lt;/span&gt;&lt;/em&gt;&lt;/strong&gt;&lt;br&gt;&lt;em&gt;&lt;span style="color: rgb(31, 73, 125);"&gt;&lt;br&gt;&lt;strong&gt;Prices will increase after &lt;span style="color: rgb(255, 0, 0);"&gt;June 1st!&lt;/span&gt;&lt;/strong&gt;&lt;/span&gt;&lt;/em&gt;&lt;br&gt;&lt;br&gt;&lt;strong&gt;&lt;span style="text-decoration: underline;"&gt;Registration Cost:&lt;/span&gt;&lt;/strong&gt;&lt;br&gt;&lt;br&gt;MHS Physician: $180.00&lt;br&gt;MHS Nurse Practitioner (APRN), Pharmacist and Physician Assistant: $90.00&lt;br&gt;MHS Nurse, Respiratory Therapist, Dietician, Dietician Tech and Pharmacy Technician General: $70.00&lt;br&gt;Non-MHS Physician: $250.00&lt;br&gt;Non-MHS Healthcare Professionals: $180.00&lt;br&gt;Industry Representatives: $300.00&lt;br&gt;Residents/ Fellows/ Medical &amp;amp; PharmD Students: FREE&lt;br&gt;* Residents/Medical Students must provide proof of residency or medical school status upon check in at the event.&lt;br&gt;&lt;br&gt;For Further Information&lt;br&gt;&lt;br&gt;Contact Memorial Healthcare System’s Department of Continuing Medical Education: cmedept@mhs.net&lt;/p&gt;&lt;br&gt;</w:t>
      </w: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Expose</w:t>
      </w:r>
      <w:r w:rsidRPr="00154026">
        <w:rPr>
          <w:rFonts w:ascii="Arial" w:hAnsi="Arial" w:cs="Arial"/>
          <w:noProof/>
          <w:sz w:val="24"/>
          <w:szCs w:val="24"/>
        </w:rPr>
        <w:t xml:space="preserve"> hematologist/oncologists to data from relevant ongoing clinical research presented in ASCO that year. Emphasizing the latest developments in oncology.</w:t>
      </w:r>
    </w:p>
    <w:p w:rsidRPr="00154026" w:rsidP="006A623D">
      <w:pPr>
        <w:spacing w:line="240" w:lineRule="auto"/>
        <w:rPr>
          <w:rFonts w:ascii="Arial" w:hAnsi="Arial" w:cs="Arial"/>
          <w:noProof/>
          <w:sz w:val="24"/>
          <w:szCs w:val="24"/>
        </w:rPr>
      </w:pPr>
      <w:r w:rsidRPr="00154026">
        <w:rPr>
          <w:rFonts w:ascii="Arial" w:hAnsi="Arial" w:cs="Arial"/>
          <w:noProof/>
          <w:sz w:val="24"/>
          <w:szCs w:val="24"/>
        </w:rPr>
        <w:t xml:space="preserve">2 Close the knowledge gaps of other Allied Health Specialists (PharmDs, ARNPs and nurses) who need to know how to administer novel, approved therapies. These APPs need to know the clinical applications, changes in the labeling of therapies and new toxicities reported in targeted agents.  </w:t>
      </w:r>
    </w:p>
    <w:p w:rsidRPr="00154026" w:rsidP="006A623D">
      <w:pPr>
        <w:spacing w:line="240" w:lineRule="auto"/>
        <w:rPr>
          <w:rFonts w:ascii="Arial" w:hAnsi="Arial" w:cs="Arial"/>
          <w:noProof/>
          <w:sz w:val="24"/>
          <w:szCs w:val="24"/>
        </w:rPr>
      </w:pPr>
      <w:r w:rsidRPr="00154026">
        <w:rPr>
          <w:rFonts w:ascii="Arial" w:hAnsi="Arial" w:cs="Arial"/>
          <w:noProof/>
          <w:sz w:val="24"/>
          <w:szCs w:val="24"/>
        </w:rPr>
        <w:t>3 Teach clinicians to incorporate new data, like biomarker information, and new standards of care into their clinical practice.</w:t>
      </w:r>
    </w:p>
    <w:p w:rsidRPr="00154026" w:rsidP="006A623D">
      <w:pPr>
        <w:spacing w:line="240" w:lineRule="auto"/>
        <w:rPr>
          <w:rFonts w:ascii="Arial" w:hAnsi="Arial" w:cs="Arial"/>
          <w:noProof/>
          <w:sz w:val="24"/>
          <w:szCs w:val="24"/>
        </w:rPr>
      </w:pPr>
      <w:r w:rsidRPr="00154026">
        <w:rPr>
          <w:rFonts w:ascii="Arial" w:hAnsi="Arial" w:cs="Arial"/>
          <w:noProof/>
          <w:sz w:val="24"/>
          <w:szCs w:val="24"/>
        </w:rPr>
        <w:t>4 Close the gap in knowledge between healthcare professionals and patients related to overall survival, progression-free survival, recurrence rates, and toxicity for novel therapies which have either been recently approved or are on their way to clinical approval.</w:t>
      </w:r>
    </w:p>
    <w:p w:rsidRPr="00154026" w:rsidP="006A623D">
      <w:pPr>
        <w:spacing w:line="240" w:lineRule="auto"/>
        <w:rPr>
          <w:rFonts w:ascii="Arial" w:hAnsi="Arial" w:cs="Arial"/>
          <w:noProof/>
          <w:sz w:val="24"/>
          <w:szCs w:val="24"/>
        </w:rPr>
      </w:pPr>
      <w:r w:rsidRPr="00154026">
        <w:rPr>
          <w:rFonts w:ascii="Arial" w:hAnsi="Arial" w:cs="Arial"/>
          <w:noProof/>
          <w:sz w:val="24"/>
          <w:szCs w:val="24"/>
        </w:rPr>
        <w:t>5 Improve clinicians’ information on specific drug therapies (topics in solid tumors specially related to targeted therapy current and in development, Immunotherapy, drug administration and treatment plans); their toxicities, side effects and corresponding supportive care of the oncology patient.</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 xml:space="preserve">6 Develop guidelines for best practices of Standard of Care treatment. These guidelines may be disease orientated which will address specific clinical situations, or they may be modality-oriented and address medical devices, procedures and tests. </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r w:rsidRPr="00154026">
        <w:rPr>
          <w:rFonts w:ascii="Arial" w:hAnsi="Arial" w:cs="Arial"/>
          <w:noProof/>
          <w:sz w:val="24"/>
          <w:szCs w:val="24"/>
        </w:rPr>
        <w:t>Oncology</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&lt;p&gt;Cancellations received in writing &lt;strong&gt;no less than 20 days before the course&lt;/strong&gt; will be refunded, less a 20% administrative fee. No refunds will be made on cancellations received after that date. Please send cancellation requests to cmedept@mhs.net.&lt;br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Memorial Healthcare System reserves the right to cancel or postpone this program if necessary; in the event of cancellation, course fees will be fully refunded. We are not responsible for other costs incurred such as non-refundable airline tickets or hotel penalties.&lt;br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&lt;strong&gt;Accessibility Statement&lt;/strong&gt;&lt;br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&amp;nbsp;&lt;br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Memorial Healthcare System 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w:t>
      </w:r>
    </w:p>
    <w:p w:rsidR="009A3B3F" w:rsidRPr="00154026" w:rsidP="006A623D">
      <w:pPr>
        <w:spacing w:line="240" w:lineRule="auto"/>
        <w:rPr>
          <w:rFonts w:ascii="Arial" w:hAnsi="Arial" w:cs="Arial"/>
          <w:sz w:val="24"/>
          <w:szCs w:val="24"/>
        </w:rPr>
      </w:pPr>
      <w:r w:rsidRPr="00154026">
        <w:rPr>
          <w:rFonts w:ascii="Arial" w:hAnsi="Arial" w:cs="Arial"/>
          <w:noProof/>
          <w:sz w:val="24"/>
          <w:szCs w:val="24"/>
        </w:rPr>
        <w:t>&lt;br /&gt;</w:t>
      </w:r>
    </w:p>
    <w:p w:rsidR="00CC477A" w:rsidRPr="00154026" w:rsidP="00CC477A">
      <w:pPr>
        <w:spacing w:line="240" w:lineRule="auto"/>
        <w:rPr>
          <w:rFonts w:ascii="Arial" w:hAnsi="Arial" w:cs="Arial"/>
          <w:sz w:val="24"/>
          <w:szCs w:val="20"/>
        </w:rPr>
      </w:pPr>
      <w:r>
        <w:rPr>
          <w:rFonts w:ascii="Arial" w:hAnsi="Arial" w:cs="Arial"/>
          <w:sz w:val="24"/>
          <w:szCs w:val="20"/>
        </w:rPr>
        <w:t>Memorial Healthcare System</w:t>
      </w:r>
      <w:r w:rsidRPr="00154026">
        <w:rPr>
          <w:rFonts w:ascii="Arial" w:hAnsi="Arial" w:cs="Arial"/>
          <w:sz w:val="24"/>
          <w:szCs w:val="20"/>
        </w:rPr>
        <w:t xml:space="preserv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Pr>
          <w:rFonts w:ascii="Arial" w:hAnsi="Arial" w:cs="Arial"/>
          <w:sz w:val="24"/>
          <w:szCs w:val="20"/>
        </w:rPr>
        <w:t>Memorial Healthcare System</w:t>
      </w:r>
      <w:r w:rsidRPr="00154026" w:rsidR="00CC477A">
        <w:rPr>
          <w:rFonts w:ascii="Arial" w:hAnsi="Arial" w:cs="Arial"/>
          <w:sz w:val="24"/>
          <w:szCs w:val="20"/>
        </w:rPr>
        <w:t xml:space="preserve"> </w:t>
      </w:r>
      <w:r w:rsidRPr="00154026">
        <w:rPr>
          <w:rFonts w:ascii="Arial" w:hAnsi="Arial" w:cs="Arial"/>
          <w:sz w:val="24"/>
          <w:szCs w:val="20"/>
        </w:rPr>
        <w:t xml:space="preserve">designates this educational activity for a maximum of </w:t>
      </w:r>
      <w:r w:rsidRPr="00154026">
        <w:rPr>
          <w:rFonts w:ascii="Arial" w:hAnsi="Arial" w:cs="Arial"/>
          <w:noProof/>
          <w:sz w:val="24"/>
        </w:rPr>
        <w:t>14.00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149</Words>
  <Characters>851</Characters>
  <Application>Microsoft Office Word</Application>
  <DocSecurity>0</DocSecurity>
  <Lines>7</Lines>
  <Paragraphs>1</Paragraphs>
  <ScaleCrop>false</ScaleCrop>
  <Company>A</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11</cp:revision>
  <dcterms:created xsi:type="dcterms:W3CDTF">2016-02-10T14:54:00Z</dcterms:created>
  <dcterms:modified xsi:type="dcterms:W3CDTF">2019-12-09T16:07:00Z</dcterms:modified>
</cp:coreProperties>
</file>